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D2EE" w14:textId="77777777" w:rsidR="00B75761" w:rsidRDefault="00B75761"/>
    <w:p w14:paraId="663BAE54" w14:textId="77777777" w:rsidR="00207548" w:rsidRPr="00702F36" w:rsidRDefault="00207548" w:rsidP="00702F36">
      <w:pPr>
        <w:widowControl w:val="0"/>
        <w:autoSpaceDE w:val="0"/>
        <w:autoSpaceDN w:val="0"/>
        <w:adjustRightInd w:val="0"/>
        <w:spacing w:after="0"/>
        <w:jc w:val="center"/>
        <w:rPr>
          <w:rFonts w:ascii="Optima" w:hAnsi="Optima" w:cs="Times New Roman"/>
          <w:b/>
          <w:sz w:val="28"/>
          <w:szCs w:val="28"/>
        </w:rPr>
      </w:pPr>
      <w:r w:rsidRPr="00702F36">
        <w:rPr>
          <w:rFonts w:ascii="Optima" w:hAnsi="Optima" w:cs="Times New Roman"/>
          <w:b/>
          <w:sz w:val="28"/>
          <w:szCs w:val="28"/>
        </w:rPr>
        <w:t xml:space="preserve">Statusbezogene Information (nach §12 </w:t>
      </w:r>
      <w:proofErr w:type="spellStart"/>
      <w:r w:rsidRPr="00702F36">
        <w:rPr>
          <w:rFonts w:ascii="Optima" w:hAnsi="Optima" w:cs="Times New Roman"/>
          <w:b/>
          <w:sz w:val="28"/>
          <w:szCs w:val="28"/>
        </w:rPr>
        <w:t>FinVermV</w:t>
      </w:r>
      <w:proofErr w:type="spellEnd"/>
      <w:r w:rsidRPr="00702F36">
        <w:rPr>
          <w:rFonts w:ascii="Optima" w:hAnsi="Optima" w:cs="Times New Roman"/>
          <w:b/>
          <w:sz w:val="28"/>
          <w:szCs w:val="28"/>
        </w:rPr>
        <w:t>)</w:t>
      </w:r>
    </w:p>
    <w:p w14:paraId="0783151B" w14:textId="77777777" w:rsidR="00276AE5" w:rsidRPr="00702F36" w:rsidRDefault="00276AE5" w:rsidP="00207548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b/>
          <w:sz w:val="20"/>
          <w:szCs w:val="20"/>
        </w:rPr>
      </w:pPr>
    </w:p>
    <w:p w14:paraId="6D3323DC" w14:textId="65851980" w:rsidR="00F77E75" w:rsidRPr="00702F36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366E4F">
        <w:rPr>
          <w:rFonts w:ascii="Optima" w:hAnsi="Optima" w:cs="Times New Roman"/>
          <w:sz w:val="20"/>
          <w:szCs w:val="20"/>
          <w:u w:val="single"/>
        </w:rPr>
        <w:t xml:space="preserve">Wir sind </w:t>
      </w:r>
      <w:r w:rsidRPr="00366E4F">
        <w:rPr>
          <w:rFonts w:ascii="Optima" w:hAnsi="Optima" w:cs="Times New Roman"/>
          <w:b/>
          <w:sz w:val="20"/>
          <w:szCs w:val="20"/>
          <w:u w:val="single"/>
        </w:rPr>
        <w:t xml:space="preserve">unabhängige Finanzanlagenvermittler </w:t>
      </w:r>
      <w:r w:rsidRPr="00366E4F">
        <w:rPr>
          <w:rFonts w:ascii="Optima" w:hAnsi="Optima" w:cs="Times New Roman"/>
          <w:sz w:val="20"/>
          <w:szCs w:val="20"/>
          <w:u w:val="single"/>
        </w:rPr>
        <w:t>mit Erlaubnis nach</w:t>
      </w:r>
      <w:r w:rsidRPr="00702F36">
        <w:rPr>
          <w:rFonts w:ascii="Optima" w:hAnsi="Optima" w:cs="Times New Roman"/>
          <w:sz w:val="20"/>
          <w:szCs w:val="20"/>
        </w:rPr>
        <w:t>:</w:t>
      </w:r>
      <w:r w:rsidR="00702F36">
        <w:rPr>
          <w:rFonts w:ascii="Optima" w:hAnsi="Optima" w:cs="Times New Roman"/>
          <w:sz w:val="20"/>
          <w:szCs w:val="20"/>
        </w:rPr>
        <w:br/>
      </w:r>
    </w:p>
    <w:p w14:paraId="0221DC38" w14:textId="67B477CC" w:rsidR="00455D3E" w:rsidRPr="00455D3E" w:rsidRDefault="00F77E75" w:rsidP="00455D3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§ 34</w:t>
      </w:r>
      <w:r w:rsidR="001831D5">
        <w:rPr>
          <w:rFonts w:ascii="Optima" w:hAnsi="Optima" w:cs="Times New Roman"/>
          <w:sz w:val="20"/>
          <w:szCs w:val="20"/>
        </w:rPr>
        <w:t>f</w:t>
      </w:r>
      <w:r w:rsidRPr="00455D3E">
        <w:rPr>
          <w:rFonts w:ascii="Optima" w:hAnsi="Optima" w:cs="Times New Roman"/>
          <w:sz w:val="20"/>
          <w:szCs w:val="20"/>
        </w:rPr>
        <w:t xml:space="preserve"> Abs. 1. S. 1 Nr. 1 GewO (Anteile oder Aktien an inländischen offenen </w:t>
      </w:r>
      <w:proofErr w:type="spellStart"/>
      <w:r w:rsidRPr="00455D3E">
        <w:rPr>
          <w:rFonts w:ascii="Optima" w:hAnsi="Optima" w:cs="Times New Roman"/>
          <w:sz w:val="20"/>
          <w:szCs w:val="20"/>
        </w:rPr>
        <w:t>Investmentver</w:t>
      </w:r>
      <w:proofErr w:type="spellEnd"/>
      <w:r w:rsidR="00366E4F">
        <w:rPr>
          <w:rFonts w:ascii="Optima" w:hAnsi="Optima" w:cs="Times New Roman"/>
          <w:sz w:val="20"/>
          <w:szCs w:val="20"/>
        </w:rPr>
        <w:t>-</w:t>
      </w:r>
      <w:r w:rsidRPr="00455D3E">
        <w:rPr>
          <w:rFonts w:ascii="Optima" w:hAnsi="Optima" w:cs="Times New Roman"/>
          <w:sz w:val="20"/>
          <w:szCs w:val="20"/>
        </w:rPr>
        <w:t>mögen,</w:t>
      </w:r>
      <w:r w:rsidR="00455D3E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offenen EU-Investmentvermögen oder ausländischen offenen Investmentvermögen, die nach dem</w:t>
      </w:r>
      <w:r w:rsidR="00455D3E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 xml:space="preserve">Kapitalanlagegesetzbuch vertrieben werden </w:t>
      </w:r>
      <w:r w:rsidR="00366E4F" w:rsidRPr="00455D3E">
        <w:rPr>
          <w:rFonts w:ascii="Optima" w:hAnsi="Optima" w:cs="Times New Roman"/>
          <w:sz w:val="20"/>
          <w:szCs w:val="20"/>
        </w:rPr>
        <w:t>dürfen</w:t>
      </w:r>
      <w:r w:rsidRPr="00455D3E">
        <w:rPr>
          <w:rFonts w:ascii="Optima" w:hAnsi="Optima" w:cs="Times New Roman"/>
          <w:sz w:val="20"/>
          <w:szCs w:val="20"/>
        </w:rPr>
        <w:t>)</w:t>
      </w:r>
    </w:p>
    <w:p w14:paraId="63B73BA9" w14:textId="77777777" w:rsidR="00455D3E" w:rsidRDefault="00455D3E" w:rsidP="00702F36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095DED1E" w14:textId="3FF3D8F6" w:rsidR="00F77E75" w:rsidRPr="00455D3E" w:rsidRDefault="00F77E75" w:rsidP="00455D3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§ 34f Abs. 1. S. 1 Nr. 2 GewO (Anteile oder Aktien an inländischen geschlossenen</w:t>
      </w:r>
      <w:r w:rsidR="00455D3E" w:rsidRPr="00455D3E">
        <w:rPr>
          <w:rFonts w:ascii="Optima" w:hAnsi="Optima" w:cs="Times New Roman"/>
          <w:sz w:val="20"/>
          <w:szCs w:val="20"/>
        </w:rPr>
        <w:t xml:space="preserve"> Investment</w:t>
      </w:r>
      <w:r w:rsidR="00366E4F">
        <w:rPr>
          <w:rFonts w:ascii="Optima" w:hAnsi="Optima" w:cs="Times New Roman"/>
          <w:sz w:val="20"/>
          <w:szCs w:val="20"/>
        </w:rPr>
        <w:t>-</w:t>
      </w:r>
      <w:r w:rsidR="00455D3E" w:rsidRPr="00455D3E">
        <w:rPr>
          <w:rFonts w:ascii="Optima" w:hAnsi="Optima" w:cs="Times New Roman"/>
          <w:sz w:val="20"/>
          <w:szCs w:val="20"/>
        </w:rPr>
        <w:t xml:space="preserve">vermögen, </w:t>
      </w:r>
      <w:r w:rsidRPr="00455D3E">
        <w:rPr>
          <w:rFonts w:ascii="Optima" w:hAnsi="Optima" w:cs="Times New Roman"/>
          <w:sz w:val="20"/>
          <w:szCs w:val="20"/>
        </w:rPr>
        <w:t>geschlossenen EU-Investment-vermögen oder ausländischen geschlossenen</w:t>
      </w:r>
      <w:r w:rsidR="00455D3E" w:rsidRPr="00455D3E">
        <w:rPr>
          <w:rFonts w:ascii="Optima" w:hAnsi="Optima" w:cs="Times New Roman"/>
          <w:sz w:val="20"/>
          <w:szCs w:val="20"/>
        </w:rPr>
        <w:t xml:space="preserve"> </w:t>
      </w:r>
      <w:proofErr w:type="spellStart"/>
      <w:r w:rsidR="00455D3E" w:rsidRPr="00455D3E">
        <w:rPr>
          <w:rFonts w:ascii="Optima" w:hAnsi="Optima" w:cs="Times New Roman"/>
          <w:sz w:val="20"/>
          <w:szCs w:val="20"/>
        </w:rPr>
        <w:t>Invest</w:t>
      </w:r>
      <w:r w:rsidR="00366E4F">
        <w:rPr>
          <w:rFonts w:ascii="Optima" w:hAnsi="Optima" w:cs="Times New Roman"/>
          <w:sz w:val="20"/>
          <w:szCs w:val="20"/>
        </w:rPr>
        <w:t>-</w:t>
      </w:r>
      <w:r w:rsidR="00455D3E" w:rsidRPr="00455D3E">
        <w:rPr>
          <w:rFonts w:ascii="Optima" w:hAnsi="Optima" w:cs="Times New Roman"/>
          <w:sz w:val="20"/>
          <w:szCs w:val="20"/>
        </w:rPr>
        <w:t>ment</w:t>
      </w:r>
      <w:r w:rsidRPr="00455D3E">
        <w:rPr>
          <w:rFonts w:ascii="Optima" w:hAnsi="Optima" w:cs="Times New Roman"/>
          <w:sz w:val="20"/>
          <w:szCs w:val="20"/>
        </w:rPr>
        <w:t>vermögen</w:t>
      </w:r>
      <w:proofErr w:type="spellEnd"/>
      <w:r w:rsidRPr="00455D3E">
        <w:rPr>
          <w:rFonts w:ascii="Optima" w:hAnsi="Optima" w:cs="Times New Roman"/>
          <w:sz w:val="20"/>
          <w:szCs w:val="20"/>
        </w:rPr>
        <w:t xml:space="preserve">, die nach dem Kapitalanlagegesetzbuch vertrieben werden </w:t>
      </w:r>
      <w:r w:rsidR="00366E4F" w:rsidRPr="00455D3E">
        <w:rPr>
          <w:rFonts w:ascii="Optima" w:hAnsi="Optima" w:cs="Times New Roman"/>
          <w:sz w:val="20"/>
          <w:szCs w:val="20"/>
        </w:rPr>
        <w:t>dürfen</w:t>
      </w:r>
      <w:r w:rsidRPr="00455D3E">
        <w:rPr>
          <w:rFonts w:ascii="Optima" w:hAnsi="Optima" w:cs="Times New Roman"/>
          <w:sz w:val="20"/>
          <w:szCs w:val="20"/>
        </w:rPr>
        <w:t>)</w:t>
      </w:r>
    </w:p>
    <w:p w14:paraId="0778A348" w14:textId="77777777" w:rsidR="00455D3E" w:rsidRDefault="00455D3E" w:rsidP="00702F36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065B7293" w14:textId="75A31935" w:rsidR="00F77E75" w:rsidRPr="00455D3E" w:rsidRDefault="00F77E75" w:rsidP="00455D3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§ 34f Abs. 1. S. 1 Nr. 3 GewO (Vermögensanlagen im Sinne des § 1 Absatz 2 des</w:t>
      </w:r>
      <w:r w:rsidR="00455D3E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Vermögens</w:t>
      </w:r>
      <w:r w:rsidR="00366E4F">
        <w:rPr>
          <w:rFonts w:ascii="Optima" w:hAnsi="Optima" w:cs="Times New Roman"/>
          <w:sz w:val="20"/>
          <w:szCs w:val="20"/>
        </w:rPr>
        <w:t>-</w:t>
      </w:r>
      <w:proofErr w:type="spellStart"/>
      <w:r w:rsidRPr="00455D3E">
        <w:rPr>
          <w:rFonts w:ascii="Optima" w:hAnsi="Optima" w:cs="Times New Roman"/>
          <w:sz w:val="20"/>
          <w:szCs w:val="20"/>
        </w:rPr>
        <w:t>anlagengesetzes</w:t>
      </w:r>
      <w:proofErr w:type="spellEnd"/>
      <w:r w:rsidRPr="00455D3E">
        <w:rPr>
          <w:rFonts w:ascii="Optima" w:hAnsi="Optima" w:cs="Times New Roman"/>
          <w:sz w:val="20"/>
          <w:szCs w:val="20"/>
        </w:rPr>
        <w:t>)</w:t>
      </w:r>
    </w:p>
    <w:p w14:paraId="56680735" w14:textId="77777777" w:rsidR="00702F36" w:rsidRPr="00702F36" w:rsidRDefault="00702F36" w:rsidP="00702F36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7D471570" w14:textId="77777777" w:rsidR="00F77E75" w:rsidRPr="00702F36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366E4F">
        <w:rPr>
          <w:rFonts w:ascii="Optima" w:hAnsi="Optima" w:cs="Times New Roman"/>
          <w:sz w:val="20"/>
          <w:szCs w:val="20"/>
          <w:u w:val="single"/>
        </w:rPr>
        <w:t xml:space="preserve">Wir sind </w:t>
      </w:r>
      <w:r w:rsidRPr="00366E4F">
        <w:rPr>
          <w:rFonts w:ascii="Optima" w:hAnsi="Optima" w:cs="Times New Roman"/>
          <w:b/>
          <w:sz w:val="20"/>
          <w:szCs w:val="20"/>
          <w:u w:val="single"/>
        </w:rPr>
        <w:t>unabhängige Versicherungsmakler</w:t>
      </w:r>
      <w:r w:rsidRPr="00366E4F">
        <w:rPr>
          <w:rFonts w:ascii="Optima" w:hAnsi="Optima" w:cs="Times New Roman"/>
          <w:sz w:val="20"/>
          <w:szCs w:val="20"/>
          <w:u w:val="single"/>
        </w:rPr>
        <w:t xml:space="preserve"> mit Erlaubnis nach §34d Abs. 1 GewO</w:t>
      </w:r>
      <w:r w:rsidRPr="00702F36">
        <w:rPr>
          <w:rFonts w:ascii="Optima" w:hAnsi="Optima" w:cs="Times New Roman"/>
          <w:sz w:val="20"/>
          <w:szCs w:val="20"/>
        </w:rPr>
        <w:t>.</w:t>
      </w:r>
    </w:p>
    <w:p w14:paraId="6FE96CA5" w14:textId="77777777" w:rsidR="00702F36" w:rsidRPr="00702F36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2B0E780E" w14:textId="730EEC51" w:rsidR="00F77E75" w:rsidRDefault="00F77E75" w:rsidP="00455D3E">
      <w:pPr>
        <w:widowControl w:val="0"/>
        <w:autoSpaceDE w:val="0"/>
        <w:autoSpaceDN w:val="0"/>
        <w:adjustRightInd w:val="0"/>
        <w:spacing w:after="0"/>
        <w:ind w:firstLine="708"/>
        <w:rPr>
          <w:rFonts w:ascii="Optima" w:hAnsi="Optima" w:cs="Times New Roman"/>
          <w:sz w:val="20"/>
          <w:szCs w:val="20"/>
        </w:rPr>
      </w:pPr>
      <w:r w:rsidRPr="00702F36">
        <w:rPr>
          <w:rFonts w:ascii="Optima" w:hAnsi="Optima" w:cs="Times New Roman"/>
          <w:sz w:val="20"/>
          <w:szCs w:val="20"/>
        </w:rPr>
        <w:t>Finanzanlagenvermittler-Register</w:t>
      </w:r>
      <w:r w:rsidR="00455D3E">
        <w:rPr>
          <w:rFonts w:ascii="Optima" w:hAnsi="Optima" w:cs="Times New Roman"/>
          <w:sz w:val="20"/>
          <w:szCs w:val="20"/>
        </w:rPr>
        <w:t>-Nummer</w:t>
      </w:r>
      <w:r w:rsidRPr="00702F36">
        <w:rPr>
          <w:rFonts w:ascii="Optima" w:hAnsi="Optima" w:cs="Times New Roman"/>
          <w:sz w:val="20"/>
          <w:szCs w:val="20"/>
        </w:rPr>
        <w:t xml:space="preserve"> </w:t>
      </w:r>
      <w:r w:rsidR="00702F36" w:rsidRPr="00455D3E">
        <w:rPr>
          <w:rFonts w:ascii="Optima" w:hAnsi="Optima" w:cs="Times New Roman"/>
          <w:b/>
          <w:sz w:val="20"/>
          <w:szCs w:val="20"/>
        </w:rPr>
        <w:t>D-F-155-1LE4-36</w:t>
      </w:r>
    </w:p>
    <w:p w14:paraId="2A46A404" w14:textId="77777777" w:rsidR="00455D3E" w:rsidRPr="00702F36" w:rsidRDefault="00455D3E" w:rsidP="00455D3E">
      <w:pPr>
        <w:widowControl w:val="0"/>
        <w:autoSpaceDE w:val="0"/>
        <w:autoSpaceDN w:val="0"/>
        <w:adjustRightInd w:val="0"/>
        <w:spacing w:after="0"/>
        <w:ind w:firstLine="708"/>
        <w:rPr>
          <w:rFonts w:ascii="Optima" w:hAnsi="Optima" w:cs="Times New Roman"/>
          <w:sz w:val="20"/>
          <w:szCs w:val="20"/>
        </w:rPr>
      </w:pPr>
    </w:p>
    <w:p w14:paraId="6520690E" w14:textId="1E8CC87A" w:rsidR="00F77E75" w:rsidRPr="00702F36" w:rsidRDefault="00F77E75" w:rsidP="00455D3E">
      <w:pPr>
        <w:widowControl w:val="0"/>
        <w:autoSpaceDE w:val="0"/>
        <w:autoSpaceDN w:val="0"/>
        <w:adjustRightInd w:val="0"/>
        <w:spacing w:after="0"/>
        <w:ind w:firstLine="708"/>
        <w:rPr>
          <w:rFonts w:ascii="Optima" w:hAnsi="Optima" w:cs="Times New Roman"/>
          <w:sz w:val="20"/>
          <w:szCs w:val="20"/>
        </w:rPr>
      </w:pPr>
      <w:r w:rsidRPr="00702F36">
        <w:rPr>
          <w:rFonts w:ascii="Optima" w:hAnsi="Optima" w:cs="Times New Roman"/>
          <w:sz w:val="20"/>
          <w:szCs w:val="20"/>
        </w:rPr>
        <w:t>Versicherungsvermittler-Register</w:t>
      </w:r>
      <w:r w:rsidR="00455D3E">
        <w:rPr>
          <w:rFonts w:ascii="Optima" w:hAnsi="Optima" w:cs="Times New Roman"/>
          <w:sz w:val="20"/>
          <w:szCs w:val="20"/>
        </w:rPr>
        <w:t>-Nummer</w:t>
      </w:r>
      <w:r w:rsidRPr="00702F36">
        <w:rPr>
          <w:rFonts w:ascii="Optima" w:hAnsi="Optima" w:cs="Times New Roman"/>
          <w:sz w:val="20"/>
          <w:szCs w:val="20"/>
        </w:rPr>
        <w:t xml:space="preserve"> </w:t>
      </w:r>
      <w:r w:rsidR="00702F36" w:rsidRPr="00455D3E">
        <w:rPr>
          <w:rFonts w:ascii="Optima" w:hAnsi="Optima" w:cs="Times New Roman"/>
          <w:b/>
          <w:sz w:val="20"/>
          <w:szCs w:val="20"/>
        </w:rPr>
        <w:t>D-L3JQ-XT3V5-61</w:t>
      </w:r>
    </w:p>
    <w:p w14:paraId="68F9E176" w14:textId="77777777" w:rsidR="00702F36" w:rsidRPr="00702F36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06F27E95" w14:textId="51BFE5C9" w:rsidR="00F77E75" w:rsidRPr="00455D3E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 xml:space="preserve">Die Register werden </w:t>
      </w:r>
      <w:r w:rsidR="00366E4F" w:rsidRPr="00455D3E">
        <w:rPr>
          <w:rFonts w:ascii="Optima" w:hAnsi="Optima" w:cs="Times New Roman"/>
          <w:sz w:val="20"/>
          <w:szCs w:val="20"/>
        </w:rPr>
        <w:t>geführt</w:t>
      </w:r>
      <w:r w:rsidRPr="00455D3E">
        <w:rPr>
          <w:rFonts w:ascii="Optima" w:hAnsi="Optima" w:cs="Times New Roman"/>
          <w:sz w:val="20"/>
          <w:szCs w:val="20"/>
        </w:rPr>
        <w:t xml:space="preserve"> bei der </w:t>
      </w:r>
      <w:r w:rsidR="00702F36" w:rsidRPr="00455D3E">
        <w:rPr>
          <w:rFonts w:ascii="Optima" w:hAnsi="Optima" w:cs="Times New Roman"/>
          <w:sz w:val="20"/>
          <w:szCs w:val="20"/>
        </w:rPr>
        <w:t xml:space="preserve">Industrie- und Handelskammer für München und Oberbayern, </w:t>
      </w:r>
      <w:r w:rsidR="00366E4F" w:rsidRPr="00455D3E">
        <w:rPr>
          <w:rFonts w:ascii="Optima" w:hAnsi="Optima" w:cs="Times New Roman"/>
          <w:sz w:val="20"/>
          <w:szCs w:val="20"/>
        </w:rPr>
        <w:t>Balan Straße</w:t>
      </w:r>
      <w:r w:rsidR="00702F36" w:rsidRPr="00455D3E">
        <w:rPr>
          <w:rFonts w:ascii="Optima" w:hAnsi="Optima" w:cs="Times New Roman"/>
          <w:sz w:val="20"/>
          <w:szCs w:val="20"/>
        </w:rPr>
        <w:t xml:space="preserve"> 55-59, 81541 München. Telefon: +49.89.5116-0</w:t>
      </w:r>
      <w:r w:rsidRPr="00455D3E">
        <w:rPr>
          <w:rFonts w:ascii="Optima" w:hAnsi="Optima" w:cs="Times New Roman"/>
          <w:sz w:val="20"/>
          <w:szCs w:val="20"/>
        </w:rPr>
        <w:t>. Sie können die Registrierungen durch Nachfrage unter Angabe unseres Namens oder unserer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="00455D3E" w:rsidRPr="00455D3E">
        <w:rPr>
          <w:rFonts w:ascii="Optima" w:hAnsi="Optima" w:cs="Times New Roman"/>
          <w:sz w:val="20"/>
          <w:szCs w:val="20"/>
        </w:rPr>
        <w:t xml:space="preserve">Registrierungsnummer im </w:t>
      </w:r>
      <w:proofErr w:type="spellStart"/>
      <w:r w:rsidRPr="00455D3E">
        <w:rPr>
          <w:rFonts w:ascii="Optima" w:hAnsi="Optima" w:cs="Times New Roman"/>
          <w:sz w:val="20"/>
          <w:szCs w:val="20"/>
        </w:rPr>
        <w:t>Finanzanlagenvermit</w:t>
      </w:r>
      <w:r w:rsidR="00455D3E" w:rsidRPr="00455D3E">
        <w:rPr>
          <w:rFonts w:ascii="Optima" w:hAnsi="Optima" w:cs="Times New Roman"/>
          <w:sz w:val="20"/>
          <w:szCs w:val="20"/>
        </w:rPr>
        <w:t>-</w:t>
      </w:r>
      <w:r w:rsidRPr="00455D3E">
        <w:rPr>
          <w:rFonts w:ascii="Optima" w:hAnsi="Optima" w:cs="Times New Roman"/>
          <w:sz w:val="20"/>
          <w:szCs w:val="20"/>
        </w:rPr>
        <w:t>tlerregister</w:t>
      </w:r>
      <w:proofErr w:type="spellEnd"/>
      <w:r w:rsidRPr="00455D3E">
        <w:rPr>
          <w:rFonts w:ascii="Optima" w:hAnsi="Optima" w:cs="Times New Roman"/>
          <w:sz w:val="20"/>
          <w:szCs w:val="20"/>
        </w:rPr>
        <w:t xml:space="preserve"> unter </w:t>
      </w:r>
      <w:hyperlink r:id="rId7" w:history="1">
        <w:r w:rsidR="00455D3E" w:rsidRPr="00B70381">
          <w:rPr>
            <w:rStyle w:val="Hyperlink"/>
            <w:rFonts w:ascii="Optima" w:hAnsi="Optima" w:cs="Times New Roman"/>
            <w:sz w:val="20"/>
            <w:szCs w:val="20"/>
          </w:rPr>
          <w:t>www.vermittlerregister.info</w:t>
        </w:r>
      </w:hyperlink>
      <w:r w:rsidR="00455D3E">
        <w:rPr>
          <w:rFonts w:ascii="Optima" w:hAnsi="Optima" w:cs="Times New Roman"/>
          <w:sz w:val="20"/>
          <w:szCs w:val="20"/>
        </w:rPr>
        <w:t xml:space="preserve"> </w:t>
      </w:r>
      <w:r w:rsidR="00366E4F" w:rsidRPr="00455D3E">
        <w:rPr>
          <w:rFonts w:ascii="Optima" w:hAnsi="Optima" w:cs="Times New Roman"/>
          <w:sz w:val="20"/>
          <w:szCs w:val="20"/>
        </w:rPr>
        <w:t>überprüfen</w:t>
      </w:r>
      <w:r w:rsidRPr="00455D3E">
        <w:rPr>
          <w:rFonts w:ascii="Optima" w:hAnsi="Optima" w:cs="Times New Roman"/>
          <w:sz w:val="20"/>
          <w:szCs w:val="20"/>
        </w:rPr>
        <w:t>.</w:t>
      </w:r>
    </w:p>
    <w:p w14:paraId="3C0A3F61" w14:textId="77777777" w:rsidR="00702F36" w:rsidRPr="00455D3E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1FEED267" w14:textId="77777777" w:rsidR="00F77E75" w:rsidRPr="00455D3E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Wir vermitteln und beraten zu Finanzanlagen aus der gesamten Breite des in Deutschland bestehenden</w:t>
      </w:r>
    </w:p>
    <w:p w14:paraId="355EE394" w14:textId="37FE9910" w:rsidR="00F77E75" w:rsidRPr="00455D3E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Marktes soweit dies im Rahmen der behördlichen Zulassung als Finanzanlagenvermittler/-berater gem.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§ 34 f GewO zulässig ist.</w:t>
      </w:r>
    </w:p>
    <w:p w14:paraId="3D42C8AA" w14:textId="77777777" w:rsidR="00702F36" w:rsidRPr="00455D3E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1C69675D" w14:textId="255B2BCD" w:rsidR="00F77E75" w:rsidRPr="00455D3E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 xml:space="preserve">Im Zusammenhang mit der Anlageberatung oder -vermittlung kann die </w:t>
      </w:r>
      <w:r w:rsidR="00366E4F" w:rsidRPr="00455D3E">
        <w:rPr>
          <w:rFonts w:ascii="Optima" w:hAnsi="Optima" w:cs="Times New Roman"/>
          <w:sz w:val="20"/>
          <w:szCs w:val="20"/>
        </w:rPr>
        <w:t>Vergütung</w:t>
      </w:r>
      <w:r w:rsidRPr="00455D3E">
        <w:rPr>
          <w:rFonts w:ascii="Optima" w:hAnsi="Optima" w:cs="Times New Roman"/>
          <w:sz w:val="20"/>
          <w:szCs w:val="20"/>
        </w:rPr>
        <w:t xml:space="preserve"> </w:t>
      </w:r>
      <w:r w:rsidR="00366E4F" w:rsidRPr="00455D3E">
        <w:rPr>
          <w:rFonts w:ascii="Optima" w:hAnsi="Optima" w:cs="Times New Roman"/>
          <w:sz w:val="20"/>
          <w:szCs w:val="20"/>
        </w:rPr>
        <w:t>hierfür</w:t>
      </w:r>
      <w:r w:rsidRPr="00455D3E">
        <w:rPr>
          <w:rFonts w:ascii="Optima" w:hAnsi="Optima" w:cs="Times New Roman"/>
          <w:sz w:val="20"/>
          <w:szCs w:val="20"/>
        </w:rPr>
        <w:t xml:space="preserve"> durch den Anleger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 xml:space="preserve">oder durch Dritte (Produktgeber) in Kombination erfolgen. Dies ist abhängig von den </w:t>
      </w:r>
      <w:r w:rsidR="00366E4F" w:rsidRPr="00455D3E">
        <w:rPr>
          <w:rFonts w:ascii="Optima" w:hAnsi="Optima" w:cs="Times New Roman"/>
          <w:sz w:val="20"/>
          <w:szCs w:val="20"/>
        </w:rPr>
        <w:t>Wünschen</w:t>
      </w:r>
      <w:r w:rsidRPr="00455D3E">
        <w:rPr>
          <w:rFonts w:ascii="Optima" w:hAnsi="Optima" w:cs="Times New Roman"/>
          <w:sz w:val="20"/>
          <w:szCs w:val="20"/>
        </w:rPr>
        <w:t xml:space="preserve"> und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="00366E4F" w:rsidRPr="00455D3E">
        <w:rPr>
          <w:rFonts w:ascii="Optima" w:hAnsi="Optima" w:cs="Times New Roman"/>
          <w:sz w:val="20"/>
          <w:szCs w:val="20"/>
        </w:rPr>
        <w:t>Bedürfnissen</w:t>
      </w:r>
      <w:r w:rsidRPr="00455D3E">
        <w:rPr>
          <w:rFonts w:ascii="Optima" w:hAnsi="Optima" w:cs="Times New Roman"/>
          <w:sz w:val="20"/>
          <w:szCs w:val="20"/>
        </w:rPr>
        <w:t xml:space="preserve"> des Anlegers und den Finanzprodukten, welche eventuell vermittelt werden.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 xml:space="preserve">Soweit die </w:t>
      </w:r>
      <w:r w:rsidR="00366E4F" w:rsidRPr="00455D3E">
        <w:rPr>
          <w:rFonts w:ascii="Optima" w:hAnsi="Optima" w:cs="Times New Roman"/>
          <w:sz w:val="20"/>
          <w:szCs w:val="20"/>
        </w:rPr>
        <w:t>Vergütung</w:t>
      </w:r>
      <w:r w:rsidRPr="00455D3E">
        <w:rPr>
          <w:rFonts w:ascii="Optima" w:hAnsi="Optima" w:cs="Times New Roman"/>
          <w:sz w:val="20"/>
          <w:szCs w:val="20"/>
        </w:rPr>
        <w:t>s</w:t>
      </w:r>
      <w:r w:rsidR="00366E4F">
        <w:rPr>
          <w:rFonts w:ascii="Optima" w:hAnsi="Optima" w:cs="Times New Roman"/>
          <w:sz w:val="20"/>
          <w:szCs w:val="20"/>
        </w:rPr>
        <w:t>b</w:t>
      </w:r>
      <w:r w:rsidR="00366E4F" w:rsidRPr="00455D3E">
        <w:rPr>
          <w:rFonts w:ascii="Optima" w:hAnsi="Optima" w:cs="Times New Roman"/>
          <w:sz w:val="20"/>
          <w:szCs w:val="20"/>
        </w:rPr>
        <w:t>estandteile</w:t>
      </w:r>
      <w:r w:rsidRPr="00455D3E">
        <w:rPr>
          <w:rFonts w:ascii="Optima" w:hAnsi="Optima" w:cs="Times New Roman"/>
          <w:sz w:val="20"/>
          <w:szCs w:val="20"/>
        </w:rPr>
        <w:t xml:space="preserve"> insofern durch den Anleger gezahlt werden, erfolgt dies entsprechend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 xml:space="preserve">einer gesondert zu treffenden </w:t>
      </w:r>
      <w:r w:rsidR="00366E4F" w:rsidRPr="00455D3E">
        <w:rPr>
          <w:rFonts w:ascii="Optima" w:hAnsi="Optima" w:cs="Times New Roman"/>
          <w:sz w:val="20"/>
          <w:szCs w:val="20"/>
        </w:rPr>
        <w:t>Vergütung</w:t>
      </w:r>
      <w:r w:rsidRPr="00455D3E">
        <w:rPr>
          <w:rFonts w:ascii="Optima" w:hAnsi="Optima" w:cs="Times New Roman"/>
          <w:sz w:val="20"/>
          <w:szCs w:val="20"/>
        </w:rPr>
        <w:t>s</w:t>
      </w:r>
      <w:r w:rsidR="00366E4F">
        <w:rPr>
          <w:rFonts w:ascii="Optima" w:hAnsi="Optima" w:cs="Times New Roman"/>
          <w:sz w:val="20"/>
          <w:szCs w:val="20"/>
        </w:rPr>
        <w:t>v</w:t>
      </w:r>
      <w:r w:rsidR="00366E4F" w:rsidRPr="00455D3E">
        <w:rPr>
          <w:rFonts w:ascii="Optima" w:hAnsi="Optima" w:cs="Times New Roman"/>
          <w:sz w:val="20"/>
          <w:szCs w:val="20"/>
        </w:rPr>
        <w:t>ereinbarung</w:t>
      </w:r>
      <w:r w:rsidRPr="00455D3E">
        <w:rPr>
          <w:rFonts w:ascii="Optima" w:hAnsi="Optima" w:cs="Times New Roman"/>
          <w:sz w:val="20"/>
          <w:szCs w:val="20"/>
        </w:rPr>
        <w:t>. Soweit Zuwendungen im Zusammenhang mit der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 xml:space="preserve">Anlageberatung oder -vermittlung insofern von Dritten </w:t>
      </w:r>
      <w:r w:rsidR="00455D3E">
        <w:rPr>
          <w:rFonts w:ascii="Optima" w:hAnsi="Optima" w:cs="Times New Roman"/>
          <w:sz w:val="20"/>
          <w:szCs w:val="20"/>
        </w:rPr>
        <w:t>(Produktgebern</w:t>
      </w:r>
      <w:r w:rsidR="00366E4F">
        <w:rPr>
          <w:rFonts w:ascii="Optima" w:hAnsi="Optima" w:cs="Times New Roman"/>
          <w:sz w:val="20"/>
          <w:szCs w:val="20"/>
        </w:rPr>
        <w:t>) erbracht</w:t>
      </w:r>
      <w:r w:rsidRPr="00455D3E">
        <w:rPr>
          <w:rFonts w:ascii="Optima" w:hAnsi="Optima" w:cs="Times New Roman"/>
          <w:sz w:val="20"/>
          <w:szCs w:val="20"/>
        </w:rPr>
        <w:t xml:space="preserve"> werden, </w:t>
      </w:r>
      <w:r w:rsidR="00366E4F" w:rsidRPr="00455D3E">
        <w:rPr>
          <w:rFonts w:ascii="Optima" w:hAnsi="Optima" w:cs="Times New Roman"/>
          <w:sz w:val="20"/>
          <w:szCs w:val="20"/>
        </w:rPr>
        <w:t>dürfen</w:t>
      </w:r>
      <w:r w:rsidRPr="00455D3E">
        <w:rPr>
          <w:rFonts w:ascii="Optima" w:hAnsi="Optima" w:cs="Times New Roman"/>
          <w:sz w:val="20"/>
          <w:szCs w:val="20"/>
        </w:rPr>
        <w:t xml:space="preserve"> diese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behalten werden.</w:t>
      </w:r>
    </w:p>
    <w:p w14:paraId="00FFB95C" w14:textId="77777777" w:rsidR="00702F36" w:rsidRPr="00455D3E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56E70C8C" w14:textId="64873BBD" w:rsidR="00F77E75" w:rsidRPr="00455D3E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455D3E">
        <w:rPr>
          <w:rFonts w:ascii="Optima" w:hAnsi="Optima" w:cs="Times New Roman"/>
          <w:sz w:val="20"/>
          <w:szCs w:val="20"/>
        </w:rPr>
        <w:t>Es wird bestätigt, dass keine unmittelbare oder mittelbare Beteiligung von mehr als 10% der Stimmrechte oder das Kapitals an einem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Versicherungsunternehmen gehalten wird. Kein Versicherungsunternehmen hält eine unmittelbare oder mittelbare Beteiligung von</w:t>
      </w:r>
      <w:r w:rsidR="00702F36" w:rsidRPr="00455D3E">
        <w:rPr>
          <w:rFonts w:ascii="Optima" w:hAnsi="Optima" w:cs="Times New Roman"/>
          <w:sz w:val="20"/>
          <w:szCs w:val="20"/>
        </w:rPr>
        <w:t xml:space="preserve"> </w:t>
      </w:r>
      <w:r w:rsidRPr="00455D3E">
        <w:rPr>
          <w:rFonts w:ascii="Optima" w:hAnsi="Optima" w:cs="Times New Roman"/>
          <w:sz w:val="20"/>
          <w:szCs w:val="20"/>
        </w:rPr>
        <w:t>mehr als 10% der Stimmrechte oder des Ka</w:t>
      </w:r>
      <w:r w:rsidR="00702F36" w:rsidRPr="00455D3E">
        <w:rPr>
          <w:rFonts w:ascii="Optima" w:hAnsi="Optima" w:cs="Times New Roman"/>
          <w:sz w:val="20"/>
          <w:szCs w:val="20"/>
        </w:rPr>
        <w:t xml:space="preserve">pitals an der Mühlbauer Opitz &amp; Rautenstrauch </w:t>
      </w:r>
      <w:r w:rsidRPr="00455D3E">
        <w:rPr>
          <w:rFonts w:ascii="Optima" w:hAnsi="Optima" w:cs="Times New Roman"/>
          <w:sz w:val="20"/>
          <w:szCs w:val="20"/>
        </w:rPr>
        <w:t>AG.</w:t>
      </w:r>
    </w:p>
    <w:p w14:paraId="330BB3C7" w14:textId="77777777" w:rsidR="00702F36" w:rsidRPr="00702F36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b/>
          <w:sz w:val="20"/>
          <w:szCs w:val="20"/>
        </w:rPr>
      </w:pPr>
    </w:p>
    <w:p w14:paraId="78D93C29" w14:textId="77777777" w:rsidR="00F77E75" w:rsidRPr="00702F36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b/>
          <w:sz w:val="20"/>
          <w:szCs w:val="20"/>
        </w:rPr>
      </w:pPr>
      <w:r w:rsidRPr="00702F36">
        <w:rPr>
          <w:rFonts w:ascii="Optima" w:hAnsi="Optima" w:cs="Times New Roman"/>
          <w:b/>
          <w:sz w:val="20"/>
          <w:szCs w:val="20"/>
        </w:rPr>
        <w:t>Schlichtungsstellen</w:t>
      </w:r>
    </w:p>
    <w:p w14:paraId="4DF239C3" w14:textId="46E8A169" w:rsidR="00F77E75" w:rsidRPr="00702F36" w:rsidRDefault="00F77E75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702F36">
        <w:rPr>
          <w:rFonts w:ascii="Optima" w:hAnsi="Optima" w:cs="Times New Roman"/>
          <w:sz w:val="20"/>
          <w:szCs w:val="20"/>
        </w:rPr>
        <w:t xml:space="preserve">Versicherungsombudsmann e.V. , Postfach 080632, 10006 Berlin, Tel. 0180 – 422 4424 (20 Cent pro Anruf </w:t>
      </w:r>
      <w:proofErr w:type="spellStart"/>
      <w:r w:rsidRPr="00702F36">
        <w:rPr>
          <w:rFonts w:ascii="Optima" w:hAnsi="Optima" w:cs="Times New Roman"/>
          <w:sz w:val="20"/>
          <w:szCs w:val="20"/>
        </w:rPr>
        <w:t>a.d.</w:t>
      </w:r>
      <w:proofErr w:type="spellEnd"/>
      <w:r w:rsidRPr="00702F36">
        <w:rPr>
          <w:rFonts w:ascii="Optima" w:hAnsi="Optima" w:cs="Times New Roman"/>
          <w:sz w:val="20"/>
          <w:szCs w:val="20"/>
        </w:rPr>
        <w:t xml:space="preserve"> dt. Festnetz)</w:t>
      </w:r>
      <w:r w:rsidR="00702F36" w:rsidRPr="00702F36">
        <w:rPr>
          <w:rFonts w:ascii="Optima" w:hAnsi="Optima" w:cs="Times New Roman"/>
          <w:sz w:val="20"/>
          <w:szCs w:val="20"/>
        </w:rPr>
        <w:t xml:space="preserve"> </w:t>
      </w:r>
      <w:hyperlink r:id="rId8" w:history="1">
        <w:r w:rsidR="00702F36" w:rsidRPr="00702F36">
          <w:rPr>
            <w:rStyle w:val="Hyperlink"/>
            <w:rFonts w:ascii="Optima" w:hAnsi="Optima" w:cs="Times New Roman"/>
            <w:sz w:val="20"/>
            <w:szCs w:val="20"/>
          </w:rPr>
          <w:t>www.versicherungsombudsmann.de</w:t>
        </w:r>
      </w:hyperlink>
      <w:r w:rsidR="00702F36" w:rsidRPr="00702F36">
        <w:rPr>
          <w:rFonts w:ascii="Optima" w:hAnsi="Optima" w:cs="Times New Roman"/>
          <w:sz w:val="20"/>
          <w:szCs w:val="20"/>
        </w:rPr>
        <w:t>;</w:t>
      </w:r>
    </w:p>
    <w:p w14:paraId="3DF8C6CC" w14:textId="77777777" w:rsidR="00702F36" w:rsidRPr="00702F36" w:rsidRDefault="00702F36" w:rsidP="00F77E75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</w:p>
    <w:p w14:paraId="0C7E7847" w14:textId="218C3928" w:rsidR="00C07CD9" w:rsidRPr="00455D3E" w:rsidRDefault="00F77E75" w:rsidP="00455D3E">
      <w:pPr>
        <w:widowControl w:val="0"/>
        <w:autoSpaceDE w:val="0"/>
        <w:autoSpaceDN w:val="0"/>
        <w:adjustRightInd w:val="0"/>
        <w:spacing w:after="0"/>
        <w:rPr>
          <w:rFonts w:ascii="Optima" w:hAnsi="Optima" w:cs="Times New Roman"/>
          <w:sz w:val="20"/>
          <w:szCs w:val="20"/>
        </w:rPr>
      </w:pPr>
      <w:r w:rsidRPr="00702F36">
        <w:rPr>
          <w:rFonts w:ascii="Optima" w:hAnsi="Optima" w:cs="Times New Roman"/>
          <w:sz w:val="20"/>
          <w:szCs w:val="20"/>
        </w:rPr>
        <w:t xml:space="preserve">Ombudsmann Private-Kranken-/Pflegeversicherung, Kronenstr. 13, 10117 Berlin, Tel. 0180 – 255 0444 (6 Cent pro Anruf </w:t>
      </w:r>
      <w:proofErr w:type="spellStart"/>
      <w:r w:rsidRPr="00702F36">
        <w:rPr>
          <w:rFonts w:ascii="Optima" w:hAnsi="Optima" w:cs="Times New Roman"/>
          <w:sz w:val="20"/>
          <w:szCs w:val="20"/>
        </w:rPr>
        <w:t>a.</w:t>
      </w:r>
      <w:r w:rsidR="00455D3E">
        <w:rPr>
          <w:rFonts w:ascii="Optima" w:hAnsi="Optima" w:cs="Times New Roman"/>
          <w:sz w:val="20"/>
          <w:szCs w:val="20"/>
        </w:rPr>
        <w:t>d.</w:t>
      </w:r>
      <w:r w:rsidRPr="00702F36">
        <w:rPr>
          <w:rFonts w:ascii="Optima" w:hAnsi="Optima" w:cs="Times New Roman"/>
          <w:sz w:val="20"/>
          <w:szCs w:val="20"/>
        </w:rPr>
        <w:t>dt</w:t>
      </w:r>
      <w:proofErr w:type="spellEnd"/>
      <w:r w:rsidRPr="00702F36">
        <w:rPr>
          <w:rFonts w:ascii="Optima" w:hAnsi="Optima" w:cs="Times New Roman"/>
          <w:sz w:val="20"/>
          <w:szCs w:val="20"/>
        </w:rPr>
        <w:t>.</w:t>
      </w:r>
      <w:r w:rsidR="00455D3E">
        <w:rPr>
          <w:rFonts w:ascii="Optima" w:hAnsi="Optima" w:cs="Times New Roman"/>
          <w:sz w:val="20"/>
          <w:szCs w:val="20"/>
        </w:rPr>
        <w:t xml:space="preserve"> </w:t>
      </w:r>
      <w:r w:rsidRPr="00702F36">
        <w:rPr>
          <w:rFonts w:ascii="Optima" w:hAnsi="Optima" w:cs="Times New Roman"/>
          <w:sz w:val="20"/>
          <w:szCs w:val="20"/>
        </w:rPr>
        <w:t>Fes</w:t>
      </w:r>
      <w:r w:rsidR="00455D3E">
        <w:rPr>
          <w:rFonts w:ascii="Optima" w:hAnsi="Optima" w:cs="Times New Roman"/>
          <w:sz w:val="20"/>
          <w:szCs w:val="20"/>
        </w:rPr>
        <w:t xml:space="preserve">tnetz) </w:t>
      </w:r>
      <w:hyperlink r:id="rId9" w:history="1">
        <w:r w:rsidR="00455D3E" w:rsidRPr="00B70381">
          <w:rPr>
            <w:rStyle w:val="Hyperlink"/>
            <w:rFonts w:ascii="Optima" w:hAnsi="Optima" w:cs="Times New Roman"/>
            <w:sz w:val="20"/>
            <w:szCs w:val="20"/>
          </w:rPr>
          <w:t>www.pkv-ombudsmann.de</w:t>
        </w:r>
      </w:hyperlink>
      <w:r w:rsidR="00455D3E">
        <w:rPr>
          <w:rFonts w:ascii="Optima" w:hAnsi="Optima" w:cs="Times New Roman"/>
          <w:sz w:val="20"/>
          <w:szCs w:val="20"/>
        </w:rPr>
        <w:t>.</w:t>
      </w:r>
    </w:p>
    <w:sectPr w:rsidR="00C07CD9" w:rsidRPr="00455D3E" w:rsidSect="00306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418" w:right="1418" w:bottom="1134" w:left="1418" w:header="624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04CF" w14:textId="77777777" w:rsidR="00306D7C" w:rsidRDefault="00306D7C" w:rsidP="00DB22DD">
      <w:pPr>
        <w:spacing w:after="0"/>
      </w:pPr>
      <w:r>
        <w:separator/>
      </w:r>
    </w:p>
  </w:endnote>
  <w:endnote w:type="continuationSeparator" w:id="0">
    <w:p w14:paraId="4C3C720A" w14:textId="77777777" w:rsidR="00306D7C" w:rsidRDefault="00306D7C" w:rsidP="00DB2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013" w14:textId="77777777" w:rsidR="00621786" w:rsidRDefault="00621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E209" w14:textId="3F4FDAC0" w:rsidR="00DA23F6" w:rsidRPr="00212ABE" w:rsidRDefault="00DA23F6" w:rsidP="00212ABE"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33E19" wp14:editId="460891A1">
              <wp:simplePos x="0" y="0"/>
              <wp:positionH relativeFrom="margin">
                <wp:posOffset>31750</wp:posOffset>
              </wp:positionH>
              <wp:positionV relativeFrom="paragraph">
                <wp:posOffset>406400</wp:posOffset>
              </wp:positionV>
              <wp:extent cx="5580380" cy="323850"/>
              <wp:effectExtent l="0" t="0" r="0" b="635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70EB3" w14:textId="39E2615D" w:rsidR="00D63C3E" w:rsidRPr="00D14B3A" w:rsidRDefault="00DA23F6" w:rsidP="00D63C3E">
                          <w:pPr>
                            <w:pStyle w:val="Fuzeile"/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EA5844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Mühlbauer Opitz &amp; Rautenstrauch </w:t>
                          </w:r>
                          <w:proofErr w:type="gramStart"/>
                          <w:r w:rsidRPr="00EA5844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AG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|</w:t>
                          </w:r>
                          <w:proofErr w:type="gramEnd"/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A5844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Financial Wealth Management 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|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 </w:t>
                          </w:r>
                          <w:proofErr w:type="spellStart"/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Utastr</w:t>
                          </w:r>
                          <w:proofErr w:type="spellEnd"/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. 66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| 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0B5F15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93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049 Regensburg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| 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T  +49 (0)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941 780 375 71 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|  E-Mail: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mail@mor-ag.de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| 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www.mor-ag.de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br/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Vorstand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: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Josef Mühlbauer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|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A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ufsichtsrat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-Vorsitzender: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George W.P. Opitz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| </w:t>
                          </w:r>
                          <w:r w:rsidR="0062178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D63C3E"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HRB 8026 Amtsgericht Regensburg</w:t>
                          </w:r>
                          <w:r w:rsidR="00D63C3E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|  </w:t>
                          </w:r>
                          <w:proofErr w:type="spellStart"/>
                          <w:r w:rsidR="00D63C3E" w:rsidRPr="00DA23F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USt</w:t>
                          </w:r>
                          <w:proofErr w:type="spellEnd"/>
                          <w:r w:rsidR="00D63C3E" w:rsidRPr="00DA23F6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-ID: DE 297 17 90 4</w:t>
                          </w:r>
                        </w:p>
                        <w:p w14:paraId="34E60280" w14:textId="209BC065" w:rsidR="00D63C3E" w:rsidRPr="00D14B3A" w:rsidRDefault="00D63C3E" w:rsidP="00D63C3E">
                          <w:pPr>
                            <w:pStyle w:val="Fuzeile"/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89B09B6" w14:textId="76FAC39C" w:rsidR="00D63C3E" w:rsidRPr="00D14B3A" w:rsidRDefault="00D63C3E" w:rsidP="00D63C3E">
                          <w:pPr>
                            <w:pStyle w:val="Fuzeile"/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                  </w:t>
                          </w:r>
                        </w:p>
                        <w:p w14:paraId="15CDF842" w14:textId="5ED04EB3" w:rsidR="00D63C3E" w:rsidRPr="00D14B3A" w:rsidRDefault="00D63C3E" w:rsidP="00D63C3E">
                          <w:pPr>
                            <w:pStyle w:val="Fuzeile"/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D14B3A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      </w:t>
                          </w:r>
                        </w:p>
                        <w:p w14:paraId="4D24F48E" w14:textId="19B9ADF5" w:rsidR="00DA23F6" w:rsidRPr="00D14B3A" w:rsidRDefault="00D63C3E" w:rsidP="00523E40">
                          <w:pPr>
                            <w:pStyle w:val="Fuzeile"/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1DC6D1B7" w14:textId="77777777" w:rsidR="00DA23F6" w:rsidRPr="00D14B3A" w:rsidRDefault="00DA23F6" w:rsidP="00523E40">
                          <w:pPr>
                            <w:pBdr>
                              <w:left w:val="single" w:sz="4" w:space="4" w:color="2E74B5" w:themeColor="accent1" w:themeShade="BF"/>
                            </w:pBd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33E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5pt;margin-top:32pt;width:439.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" stroked="f">
              <v:textbox>
                <w:txbxContent>
                  <w:p w14:paraId="45170EB3" w14:textId="39E2615D" w:rsidR="00D63C3E" w:rsidRPr="00D14B3A" w:rsidRDefault="00DA23F6" w:rsidP="00D63C3E">
                    <w:pPr>
                      <w:pStyle w:val="Fuzeile"/>
                      <w:pBdr>
                        <w:left w:val="single" w:sz="4" w:space="4" w:color="2E74B5" w:themeColor="accent1" w:themeShade="BF"/>
                      </w:pBdr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EA5844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Mühlbauer Opitz &amp; Rautenstrauch </w:t>
                    </w:r>
                    <w:proofErr w:type="gramStart"/>
                    <w:r w:rsidRPr="00EA5844">
                      <w:rPr>
                        <w:rFonts w:ascii="Arial Narrow" w:hAnsi="Arial Narrow"/>
                        <w:sz w:val="12"/>
                        <w:szCs w:val="12"/>
                      </w:rPr>
                      <w:t>AG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|</w:t>
                    </w:r>
                    <w:proofErr w:type="gramEnd"/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EA5844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Financial Wealth Management 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|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 </w:t>
                    </w:r>
                    <w:proofErr w:type="spellStart"/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Utastr</w:t>
                    </w:r>
                    <w:proofErr w:type="spellEnd"/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. 66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| 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0B5F15">
                      <w:rPr>
                        <w:rFonts w:ascii="Arial Narrow" w:hAnsi="Arial Narrow"/>
                        <w:sz w:val="12"/>
                        <w:szCs w:val="12"/>
                      </w:rPr>
                      <w:t>93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049 Regensburg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| 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>T  +49 (0)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941 780 375 71 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|  E-Mail: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mail@mor-ag.de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| 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www.mor-ag.de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br/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Vorstand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>: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Josef Mühlbauer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|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>A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ufsichtsrat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-Vorsitzender: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>George W.P. Opitz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>| </w:t>
                    </w:r>
                    <w:r w:rsidR="00621786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D63C3E"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>HRB 8026 Amtsgericht Regensburg</w:t>
                    </w:r>
                    <w:r w:rsidR="00D63C3E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|  </w:t>
                    </w:r>
                    <w:proofErr w:type="spellStart"/>
                    <w:r w:rsidR="00D63C3E" w:rsidRPr="00DA23F6">
                      <w:rPr>
                        <w:rFonts w:ascii="Arial Narrow" w:hAnsi="Arial Narrow"/>
                        <w:sz w:val="12"/>
                        <w:szCs w:val="12"/>
                      </w:rPr>
                      <w:t>USt</w:t>
                    </w:r>
                    <w:proofErr w:type="spellEnd"/>
                    <w:r w:rsidR="00D63C3E" w:rsidRPr="00DA23F6">
                      <w:rPr>
                        <w:rFonts w:ascii="Arial Narrow" w:hAnsi="Arial Narrow"/>
                        <w:sz w:val="12"/>
                        <w:szCs w:val="12"/>
                      </w:rPr>
                      <w:t>-ID: DE 297 17 90 4</w:t>
                    </w:r>
                  </w:p>
                  <w:p w14:paraId="34E60280" w14:textId="209BC065" w:rsidR="00D63C3E" w:rsidRPr="00D14B3A" w:rsidRDefault="00D63C3E" w:rsidP="00D63C3E">
                    <w:pPr>
                      <w:pStyle w:val="Fuzeile"/>
                      <w:pBdr>
                        <w:left w:val="single" w:sz="4" w:space="4" w:color="2E74B5" w:themeColor="accent1" w:themeShade="BF"/>
                      </w:pBdr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  <w:p w14:paraId="289B09B6" w14:textId="76FAC39C" w:rsidR="00D63C3E" w:rsidRPr="00D14B3A" w:rsidRDefault="00D63C3E" w:rsidP="00D63C3E">
                    <w:pPr>
                      <w:pStyle w:val="Fuzeile"/>
                      <w:pBdr>
                        <w:left w:val="single" w:sz="4" w:space="4" w:color="2E74B5" w:themeColor="accent1" w:themeShade="BF"/>
                      </w:pBdr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                  </w:t>
                    </w:r>
                  </w:p>
                  <w:p w14:paraId="15CDF842" w14:textId="5ED04EB3" w:rsidR="00D63C3E" w:rsidRPr="00D14B3A" w:rsidRDefault="00D63C3E" w:rsidP="00D63C3E">
                    <w:pPr>
                      <w:pStyle w:val="Fuzeile"/>
                      <w:pBdr>
                        <w:left w:val="single" w:sz="4" w:space="4" w:color="2E74B5" w:themeColor="accent1" w:themeShade="BF"/>
                      </w:pBdr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D14B3A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      </w:t>
                    </w:r>
                  </w:p>
                  <w:p w14:paraId="4D24F48E" w14:textId="19B9ADF5" w:rsidR="00DA23F6" w:rsidRPr="00D14B3A" w:rsidRDefault="00D63C3E" w:rsidP="00523E40">
                    <w:pPr>
                      <w:pStyle w:val="Fuzeile"/>
                      <w:pBdr>
                        <w:left w:val="single" w:sz="4" w:space="4" w:color="2E74B5" w:themeColor="accent1" w:themeShade="BF"/>
                      </w:pBdr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> </w:t>
                    </w:r>
                  </w:p>
                  <w:p w14:paraId="1DC6D1B7" w14:textId="77777777" w:rsidR="00DA23F6" w:rsidRPr="00D14B3A" w:rsidRDefault="00DA23F6" w:rsidP="00523E40">
                    <w:pPr>
                      <w:pBdr>
                        <w:left w:val="single" w:sz="4" w:space="4" w:color="2E74B5" w:themeColor="accent1" w:themeShade="BF"/>
                      </w:pBd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59B" w14:textId="77777777" w:rsidR="00621786" w:rsidRDefault="00621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AF34" w14:textId="77777777" w:rsidR="00306D7C" w:rsidRDefault="00306D7C" w:rsidP="00DB22DD">
      <w:pPr>
        <w:spacing w:after="0"/>
      </w:pPr>
      <w:r>
        <w:separator/>
      </w:r>
    </w:p>
  </w:footnote>
  <w:footnote w:type="continuationSeparator" w:id="0">
    <w:p w14:paraId="465EB3A4" w14:textId="77777777" w:rsidR="00306D7C" w:rsidRDefault="00306D7C" w:rsidP="00DB2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A4EB" w14:textId="77777777" w:rsidR="00621786" w:rsidRDefault="00621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FCE6" w14:textId="77777777" w:rsidR="00DA23F6" w:rsidRDefault="00DA23F6" w:rsidP="00861B75">
    <w:pPr>
      <w:pStyle w:val="Kopfzeile"/>
    </w:pPr>
    <w:r>
      <w:ptab w:relativeTo="margin" w:alignment="center" w:leader="none"/>
    </w:r>
    <w:r>
      <w:rPr>
        <w:noProof/>
        <w:lang w:eastAsia="de-DE"/>
      </w:rPr>
      <w:drawing>
        <wp:inline distT="0" distB="0" distL="0" distR="0" wp14:anchorId="43E34226" wp14:editId="006D9755">
          <wp:extent cx="3689887" cy="777268"/>
          <wp:effectExtent l="0" t="0" r="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14-06-02 um 13.29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242" cy="77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65AD" w14:textId="77777777" w:rsidR="00621786" w:rsidRDefault="00621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29A6"/>
    <w:multiLevelType w:val="hybridMultilevel"/>
    <w:tmpl w:val="DECEFD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7D12"/>
    <w:multiLevelType w:val="hybridMultilevel"/>
    <w:tmpl w:val="BF34D3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EB1"/>
    <w:multiLevelType w:val="hybridMultilevel"/>
    <w:tmpl w:val="E548AB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86742">
    <w:abstractNumId w:val="2"/>
  </w:num>
  <w:num w:numId="2" w16cid:durableId="2118868267">
    <w:abstractNumId w:val="1"/>
  </w:num>
  <w:num w:numId="3" w16cid:durableId="19951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DD"/>
    <w:rsid w:val="00000A4B"/>
    <w:rsid w:val="00020E0C"/>
    <w:rsid w:val="00036BAA"/>
    <w:rsid w:val="00060F44"/>
    <w:rsid w:val="00070600"/>
    <w:rsid w:val="00070AE1"/>
    <w:rsid w:val="000729C7"/>
    <w:rsid w:val="000A1FB0"/>
    <w:rsid w:val="000B5F15"/>
    <w:rsid w:val="000F4D5D"/>
    <w:rsid w:val="00141CAA"/>
    <w:rsid w:val="001831D5"/>
    <w:rsid w:val="00194662"/>
    <w:rsid w:val="001A729E"/>
    <w:rsid w:val="001F4E83"/>
    <w:rsid w:val="002047D4"/>
    <w:rsid w:val="00207548"/>
    <w:rsid w:val="00212ABE"/>
    <w:rsid w:val="00247405"/>
    <w:rsid w:val="00276AE5"/>
    <w:rsid w:val="002D150F"/>
    <w:rsid w:val="002F370C"/>
    <w:rsid w:val="00306CCE"/>
    <w:rsid w:val="00306D7C"/>
    <w:rsid w:val="00320A59"/>
    <w:rsid w:val="0034368E"/>
    <w:rsid w:val="003456FC"/>
    <w:rsid w:val="00352DE2"/>
    <w:rsid w:val="00365522"/>
    <w:rsid w:val="00366E4F"/>
    <w:rsid w:val="003729A0"/>
    <w:rsid w:val="003C44AA"/>
    <w:rsid w:val="003C5392"/>
    <w:rsid w:val="003D46AF"/>
    <w:rsid w:val="003D5628"/>
    <w:rsid w:val="003D792D"/>
    <w:rsid w:val="00413E67"/>
    <w:rsid w:val="00443A25"/>
    <w:rsid w:val="00455D3E"/>
    <w:rsid w:val="00464871"/>
    <w:rsid w:val="00472AFD"/>
    <w:rsid w:val="00472C53"/>
    <w:rsid w:val="004C735A"/>
    <w:rsid w:val="004D6446"/>
    <w:rsid w:val="004E6B49"/>
    <w:rsid w:val="00514403"/>
    <w:rsid w:val="0052059C"/>
    <w:rsid w:val="00523E40"/>
    <w:rsid w:val="00546632"/>
    <w:rsid w:val="0058745D"/>
    <w:rsid w:val="0059454A"/>
    <w:rsid w:val="005B38A3"/>
    <w:rsid w:val="005B6337"/>
    <w:rsid w:val="005B6FAB"/>
    <w:rsid w:val="005D2946"/>
    <w:rsid w:val="005E2AF7"/>
    <w:rsid w:val="006147B1"/>
    <w:rsid w:val="00621786"/>
    <w:rsid w:val="00637CB5"/>
    <w:rsid w:val="006400CC"/>
    <w:rsid w:val="0066288E"/>
    <w:rsid w:val="00682717"/>
    <w:rsid w:val="006879C2"/>
    <w:rsid w:val="00696201"/>
    <w:rsid w:val="00702F36"/>
    <w:rsid w:val="00714A1B"/>
    <w:rsid w:val="00783504"/>
    <w:rsid w:val="00790385"/>
    <w:rsid w:val="007A78EC"/>
    <w:rsid w:val="007F3445"/>
    <w:rsid w:val="007F489C"/>
    <w:rsid w:val="008270AE"/>
    <w:rsid w:val="0085467A"/>
    <w:rsid w:val="00855EC5"/>
    <w:rsid w:val="00857BB7"/>
    <w:rsid w:val="00861B75"/>
    <w:rsid w:val="0086390C"/>
    <w:rsid w:val="008775EC"/>
    <w:rsid w:val="008A5046"/>
    <w:rsid w:val="008D712E"/>
    <w:rsid w:val="009059B0"/>
    <w:rsid w:val="009250D3"/>
    <w:rsid w:val="009350D8"/>
    <w:rsid w:val="00936223"/>
    <w:rsid w:val="009758C1"/>
    <w:rsid w:val="00980CAE"/>
    <w:rsid w:val="009D5A84"/>
    <w:rsid w:val="00A1026B"/>
    <w:rsid w:val="00A24130"/>
    <w:rsid w:val="00A27D58"/>
    <w:rsid w:val="00A35ACE"/>
    <w:rsid w:val="00A4403C"/>
    <w:rsid w:val="00A51CA3"/>
    <w:rsid w:val="00A53548"/>
    <w:rsid w:val="00A54E9C"/>
    <w:rsid w:val="00A61C59"/>
    <w:rsid w:val="00AA07EC"/>
    <w:rsid w:val="00AB5AE8"/>
    <w:rsid w:val="00B05DB7"/>
    <w:rsid w:val="00B062E0"/>
    <w:rsid w:val="00B42BCC"/>
    <w:rsid w:val="00B5608D"/>
    <w:rsid w:val="00B642E5"/>
    <w:rsid w:val="00B75761"/>
    <w:rsid w:val="00B83BB9"/>
    <w:rsid w:val="00B871BD"/>
    <w:rsid w:val="00BA1987"/>
    <w:rsid w:val="00BB1E52"/>
    <w:rsid w:val="00BF08FA"/>
    <w:rsid w:val="00BF1C0C"/>
    <w:rsid w:val="00C07CD9"/>
    <w:rsid w:val="00C40141"/>
    <w:rsid w:val="00CA73EB"/>
    <w:rsid w:val="00D1344E"/>
    <w:rsid w:val="00D21020"/>
    <w:rsid w:val="00D32E3C"/>
    <w:rsid w:val="00D63C3E"/>
    <w:rsid w:val="00D844C8"/>
    <w:rsid w:val="00DA23F6"/>
    <w:rsid w:val="00DB22DD"/>
    <w:rsid w:val="00DB231C"/>
    <w:rsid w:val="00E568BD"/>
    <w:rsid w:val="00E645A6"/>
    <w:rsid w:val="00E7599C"/>
    <w:rsid w:val="00EA422E"/>
    <w:rsid w:val="00EA5844"/>
    <w:rsid w:val="00ED6097"/>
    <w:rsid w:val="00EE6BDB"/>
    <w:rsid w:val="00EE70D3"/>
    <w:rsid w:val="00EF0102"/>
    <w:rsid w:val="00F14D37"/>
    <w:rsid w:val="00F26606"/>
    <w:rsid w:val="00F62F8D"/>
    <w:rsid w:val="00F775EE"/>
    <w:rsid w:val="00F77E75"/>
    <w:rsid w:val="00F97CE6"/>
    <w:rsid w:val="00FA0BAB"/>
    <w:rsid w:val="00FA1368"/>
    <w:rsid w:val="00FB352F"/>
    <w:rsid w:val="00FD51A4"/>
    <w:rsid w:val="00FD58D4"/>
    <w:rsid w:val="00FE47AD"/>
    <w:rsid w:val="00FE664B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73012"/>
  <w15:docId w15:val="{9F9A3510-F5A1-7343-B64E-6C86DD0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2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2DD"/>
  </w:style>
  <w:style w:type="paragraph" w:styleId="Fuzeile">
    <w:name w:val="footer"/>
    <w:basedOn w:val="Standard"/>
    <w:link w:val="FuzeileZchn"/>
    <w:uiPriority w:val="99"/>
    <w:unhideWhenUsed/>
    <w:rsid w:val="00DB22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22DD"/>
  </w:style>
  <w:style w:type="character" w:styleId="Hyperlink">
    <w:name w:val="Hyperlink"/>
    <w:basedOn w:val="Absatz-Standardschriftart"/>
    <w:uiPriority w:val="99"/>
    <w:unhideWhenUsed/>
    <w:rsid w:val="00DB22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7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7E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C4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C44AA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23E4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3E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3E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23E40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523E40"/>
    <w:pPr>
      <w:spacing w:after="0"/>
    </w:pPr>
  </w:style>
  <w:style w:type="paragraph" w:styleId="Listenabsatz">
    <w:name w:val="List Paragraph"/>
    <w:basedOn w:val="Standard"/>
    <w:uiPriority w:val="34"/>
    <w:qFormat/>
    <w:rsid w:val="0045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icherungsombudsman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ermittlerregister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v-ombudsman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George W.P. Opitz</cp:lastModifiedBy>
  <cp:revision>3</cp:revision>
  <cp:lastPrinted>2016-01-05T16:08:00Z</cp:lastPrinted>
  <dcterms:created xsi:type="dcterms:W3CDTF">2024-01-13T15:17:00Z</dcterms:created>
  <dcterms:modified xsi:type="dcterms:W3CDTF">2024-01-13T15:19:00Z</dcterms:modified>
</cp:coreProperties>
</file>